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ook Antiqua" w:cs="Book Antiqua" w:eastAsia="Book Antiqua" w:hAnsi="Book Antiqua"/>
          <w:i w:val="1"/>
          <w:sz w:val="32"/>
          <w:szCs w:val="32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i w:val="1"/>
          <w:sz w:val="32"/>
          <w:szCs w:val="32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Book Antiqua" w:cs="Book Antiqua" w:eastAsia="Book Antiqua" w:hAnsi="Book Antiqua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rtl w:val="0"/>
        </w:rPr>
        <w:t xml:space="preserve">Name:</w:t>
        <w:tab/>
      </w: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 </w:t>
        <w:tab/>
        <w:tab/>
        <w:t xml:space="preserve">Y.B.L. RUPA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4732020</wp:posOffset>
            </wp:positionH>
            <wp:positionV relativeFrom="paragraph">
              <wp:posOffset>148590</wp:posOffset>
            </wp:positionV>
            <wp:extent cx="1350645" cy="1751330"/>
            <wp:effectExtent b="23034" l="30148" r="30148" t="23034"/>
            <wp:wrapSquare wrapText="bothSides" distB="0" distT="0" distL="114300" distR="114300"/>
            <wp:docPr descr="PP photo.jpg" id="1" name="image1.png"/>
            <a:graphic>
              <a:graphicData uri="http://schemas.openxmlformats.org/drawingml/2006/picture">
                <pic:pic>
                  <pic:nvPicPr>
                    <pic:cNvPr descr="PP photo.jpg" id="0" name="image1.png"/>
                    <pic:cNvPicPr preferRelativeResize="0"/>
                  </pic:nvPicPr>
                  <pic:blipFill>
                    <a:blip r:embed="rId6"/>
                    <a:srcRect b="5429" l="7678" r="4377" t="8227"/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350645" cy="1751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rtl w:val="0"/>
        </w:rPr>
        <w:t xml:space="preserve">Designation: </w:t>
        <w:tab/>
        <w:tab/>
        <w:t xml:space="preserve">Guest Faculty in Commerce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Book Antiqua" w:cs="Book Antiqua" w:eastAsia="Book Antiqua" w:hAnsi="Book Antiqua"/>
          <w:b w:val="1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rtl w:val="0"/>
        </w:rPr>
        <w:t xml:space="preserve">College Address: </w:t>
        <w:tab/>
      </w:r>
      <w:r w:rsidDel="00000000" w:rsidR="00000000" w:rsidRPr="00000000">
        <w:rPr>
          <w:rFonts w:ascii="Book Antiqua" w:cs="Book Antiqua" w:eastAsia="Book Antiqua" w:hAnsi="Book Antiqua"/>
          <w:b w:val="1"/>
          <w:sz w:val="20"/>
          <w:szCs w:val="20"/>
          <w:rtl w:val="0"/>
        </w:rPr>
        <w:t xml:space="preserve">SRR &amp; CVR GDC (A) Vijayawada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Book Antiqua" w:cs="Book Antiqua" w:eastAsia="Book Antiqua" w:hAnsi="Book Antiqua"/>
          <w:b w:val="1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rtl w:val="0"/>
        </w:rPr>
        <w:t xml:space="preserve">Cell No: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</w:t>
        <w:tab/>
        <w:tab/>
        <w:t xml:space="preserve">9052284653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Book Antiqua" w:cs="Book Antiqua" w:eastAsia="Book Antiqua" w:hAnsi="Book Antiqua"/>
          <w:b w:val="1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rtl w:val="0"/>
        </w:rPr>
        <w:t xml:space="preserve">Mail Id</w:t>
      </w: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:</w:t>
        <w:tab/>
        <w:tab/>
        <w:t xml:space="preserve">rupa.yindukuri@gmail.com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  <w:rtl w:val="0"/>
        </w:rPr>
        <w:t xml:space="preserve">Educational Qualifications</w:t>
      </w:r>
    </w:p>
    <w:tbl>
      <w:tblPr>
        <w:tblStyle w:val="Table1"/>
        <w:tblW w:w="9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"/>
        <w:gridCol w:w="2564"/>
        <w:gridCol w:w="2685"/>
        <w:gridCol w:w="1834"/>
        <w:gridCol w:w="1968"/>
        <w:tblGridChange w:id="0">
          <w:tblGrid>
            <w:gridCol w:w="805"/>
            <w:gridCol w:w="2564"/>
            <w:gridCol w:w="2685"/>
            <w:gridCol w:w="1834"/>
            <w:gridCol w:w="1968"/>
          </w:tblGrid>
        </w:tblGridChange>
      </w:tblGrid>
      <w:tr>
        <w:trPr>
          <w:cantSplit w:val="0"/>
          <w:trHeight w:val="67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COURSE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BOARD / UNIVERSITY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YEAR OF PASS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PERCENTAGE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in Commerce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Krishna University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Bachelor in Commerce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Acharya Nagarjuna University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52.3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Intermediate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of Intermediate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62.7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Secondary School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of Secondary School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  <w:rtl w:val="0"/>
        </w:rPr>
        <w:t xml:space="preserve">Professional Experience: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Worked as Guest Faculty in commerce in GDC(W), Guntur from 2015 to 2018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  <w:rtl w:val="0"/>
        </w:rPr>
        <w:t xml:space="preserve">Achievements:</w:t>
      </w: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rtl w:val="0"/>
        </w:rPr>
        <w:tab/>
        <w:tab/>
        <w:tab/>
        <w:tab/>
        <w:tab/>
        <w:tab/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Memberships: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In service programs attended: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Research Experience : Article published: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NIL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Conferences at International level: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NIL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Conferences at National level: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ab/>
        <w:tab/>
        <w:tab/>
        <w:tab/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Conferences at State  Level: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Workshops attended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  <w:tab/>
        <w:tab/>
        <w:tab/>
        <w:tab/>
        <w:t xml:space="preserve">NIL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Experience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 xml:space="preserve">NIL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 Antiqu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